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7" w:rsidRPr="00523323" w:rsidRDefault="003C7B57" w:rsidP="003C7B57">
      <w:pPr>
        <w:pStyle w:val="c2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523323">
        <w:rPr>
          <w:rStyle w:val="c0"/>
          <w:sz w:val="20"/>
          <w:szCs w:val="20"/>
        </w:rPr>
        <w:t xml:space="preserve">Муниципальное бюджетное образовательное учреждение дополнительного образования </w:t>
      </w:r>
    </w:p>
    <w:p w:rsidR="003C7B57" w:rsidRPr="00523323" w:rsidRDefault="003C7B57" w:rsidP="003C7B57">
      <w:pPr>
        <w:pStyle w:val="c2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523323">
        <w:rPr>
          <w:rStyle w:val="c0"/>
          <w:sz w:val="20"/>
          <w:szCs w:val="20"/>
        </w:rPr>
        <w:t>                               «Пикалёвская детская школа искусств»</w:t>
      </w:r>
    </w:p>
    <w:p w:rsidR="003C7B57" w:rsidRDefault="003C7B57" w:rsidP="003C7B57">
      <w:pPr>
        <w:pStyle w:val="c2"/>
        <w:jc w:val="center"/>
        <w:rPr>
          <w:rStyle w:val="c4"/>
          <w:b/>
          <w:sz w:val="32"/>
          <w:szCs w:val="32"/>
        </w:rPr>
      </w:pPr>
    </w:p>
    <w:p w:rsidR="003C7B57" w:rsidRDefault="003C7B57" w:rsidP="003C7B57">
      <w:pPr>
        <w:pStyle w:val="c2"/>
        <w:jc w:val="center"/>
        <w:rPr>
          <w:rStyle w:val="c4"/>
          <w:b/>
          <w:sz w:val="32"/>
          <w:szCs w:val="32"/>
        </w:rPr>
      </w:pPr>
    </w:p>
    <w:p w:rsidR="003C7B57" w:rsidRDefault="003C7B57" w:rsidP="003C7B57">
      <w:pPr>
        <w:pStyle w:val="c2"/>
        <w:jc w:val="center"/>
        <w:rPr>
          <w:rStyle w:val="c4"/>
          <w:b/>
          <w:sz w:val="32"/>
          <w:szCs w:val="32"/>
        </w:rPr>
      </w:pPr>
    </w:p>
    <w:p w:rsidR="003C7B57" w:rsidRDefault="003C7B57" w:rsidP="003C7B57">
      <w:pPr>
        <w:pStyle w:val="c2"/>
        <w:jc w:val="center"/>
        <w:rPr>
          <w:rStyle w:val="c4"/>
          <w:b/>
          <w:sz w:val="32"/>
          <w:szCs w:val="32"/>
        </w:rPr>
      </w:pPr>
    </w:p>
    <w:p w:rsidR="003C7B57" w:rsidRDefault="003C7B57" w:rsidP="003C7B57">
      <w:pPr>
        <w:pStyle w:val="c2"/>
        <w:jc w:val="center"/>
        <w:rPr>
          <w:rStyle w:val="c4"/>
          <w:b/>
          <w:sz w:val="32"/>
          <w:szCs w:val="32"/>
        </w:rPr>
      </w:pPr>
    </w:p>
    <w:p w:rsidR="003C7B57" w:rsidRPr="00523323" w:rsidRDefault="008D38C7" w:rsidP="003C7B57">
      <w:pPr>
        <w:pStyle w:val="c2"/>
        <w:jc w:val="center"/>
        <w:rPr>
          <w:b/>
          <w:sz w:val="32"/>
          <w:szCs w:val="32"/>
        </w:rPr>
      </w:pPr>
      <w:r>
        <w:rPr>
          <w:rStyle w:val="c4"/>
          <w:b/>
          <w:sz w:val="32"/>
          <w:szCs w:val="32"/>
        </w:rPr>
        <w:t>«</w:t>
      </w:r>
      <w:r w:rsidR="003C7B57" w:rsidRPr="00523323">
        <w:rPr>
          <w:rStyle w:val="c4"/>
          <w:b/>
          <w:sz w:val="32"/>
          <w:szCs w:val="32"/>
        </w:rPr>
        <w:t>Традиционные  наигрыши на гармони</w:t>
      </w:r>
      <w:r>
        <w:rPr>
          <w:rStyle w:val="c4"/>
          <w:b/>
          <w:sz w:val="32"/>
          <w:szCs w:val="32"/>
        </w:rPr>
        <w:t>»</w:t>
      </w:r>
    </w:p>
    <w:p w:rsidR="003C7B57" w:rsidRPr="00523323" w:rsidRDefault="003C7B57" w:rsidP="003C7B57">
      <w:pPr>
        <w:pStyle w:val="c2"/>
        <w:jc w:val="center"/>
        <w:rPr>
          <w:b/>
          <w:sz w:val="32"/>
          <w:szCs w:val="32"/>
        </w:rPr>
      </w:pPr>
      <w:r w:rsidRPr="00523323">
        <w:rPr>
          <w:rStyle w:val="c4"/>
          <w:b/>
          <w:sz w:val="32"/>
          <w:szCs w:val="32"/>
        </w:rPr>
        <w:t>и их характеристика</w:t>
      </w:r>
    </w:p>
    <w:p w:rsidR="003C7B57" w:rsidRDefault="003C7B57" w:rsidP="003C7B57">
      <w:pPr>
        <w:pStyle w:val="c2"/>
        <w:ind w:left="2832" w:firstLine="429"/>
        <w:rPr>
          <w:rStyle w:val="c0"/>
          <w:b/>
        </w:rPr>
      </w:pPr>
      <w:r>
        <w:rPr>
          <w:rStyle w:val="c0"/>
          <w:b/>
        </w:rPr>
        <w:t>методическое сообщение</w:t>
      </w:r>
    </w:p>
    <w:p w:rsidR="003C7B57" w:rsidRDefault="003C7B57" w:rsidP="003C7B57">
      <w:pPr>
        <w:pStyle w:val="c2"/>
        <w:ind w:left="2832" w:firstLine="429"/>
        <w:rPr>
          <w:rStyle w:val="c0"/>
          <w:b/>
        </w:rPr>
      </w:pPr>
    </w:p>
    <w:p w:rsidR="003C7B57" w:rsidRDefault="003C7B57" w:rsidP="003C7B57">
      <w:pPr>
        <w:pStyle w:val="c2"/>
        <w:ind w:left="2832" w:firstLine="429"/>
        <w:rPr>
          <w:rStyle w:val="c0"/>
          <w:b/>
        </w:rPr>
      </w:pPr>
    </w:p>
    <w:p w:rsidR="003C7B57" w:rsidRDefault="003C7B57" w:rsidP="003C7B57">
      <w:pPr>
        <w:pStyle w:val="c2"/>
        <w:ind w:left="2832" w:firstLine="429"/>
        <w:rPr>
          <w:rStyle w:val="c0"/>
          <w:b/>
        </w:rPr>
      </w:pPr>
    </w:p>
    <w:p w:rsidR="003C7B57" w:rsidRDefault="003C7B57" w:rsidP="003C7B57">
      <w:pPr>
        <w:pStyle w:val="c2"/>
        <w:ind w:left="2832" w:firstLine="429"/>
        <w:rPr>
          <w:rStyle w:val="c0"/>
          <w:b/>
        </w:rPr>
      </w:pPr>
    </w:p>
    <w:p w:rsidR="003C7B57" w:rsidRPr="00B07DA0" w:rsidRDefault="003C7B57" w:rsidP="003C7B57">
      <w:pPr>
        <w:pStyle w:val="c2"/>
        <w:ind w:left="2832" w:firstLine="429"/>
        <w:rPr>
          <w:b/>
        </w:rPr>
      </w:pPr>
    </w:p>
    <w:p w:rsidR="003C7B57" w:rsidRDefault="003C7B57" w:rsidP="003C7B57">
      <w:pPr>
        <w:pStyle w:val="c2"/>
        <w:spacing w:before="0" w:beforeAutospacing="0" w:after="0" w:afterAutospacing="0"/>
      </w:pPr>
      <w:r>
        <w:rPr>
          <w:rStyle w:val="c0"/>
        </w:rPr>
        <w:t>                                                                                                         Сообщение подготовил:</w:t>
      </w:r>
    </w:p>
    <w:p w:rsidR="003C7B57" w:rsidRDefault="003C7B57" w:rsidP="003C7B57">
      <w:pPr>
        <w:pStyle w:val="c2"/>
        <w:spacing w:before="0" w:beforeAutospacing="0" w:after="0" w:afterAutospacing="0"/>
      </w:pPr>
      <w:r>
        <w:rPr>
          <w:rStyle w:val="c0"/>
        </w:rPr>
        <w:t xml:space="preserve">                                                                                                         Преподаватель и </w:t>
      </w:r>
    </w:p>
    <w:p w:rsidR="003C7B57" w:rsidRDefault="003C7B57" w:rsidP="003C7B57">
      <w:pPr>
        <w:pStyle w:val="c2"/>
        <w:spacing w:before="0" w:beforeAutospacing="0" w:after="0" w:afterAutospacing="0"/>
      </w:pPr>
      <w:r>
        <w:rPr>
          <w:rStyle w:val="c0"/>
        </w:rPr>
        <w:t xml:space="preserve">                                                                                                          концертмейстер  ДШИ </w:t>
      </w:r>
    </w:p>
    <w:p w:rsidR="003C7B57" w:rsidRDefault="003C7B57" w:rsidP="003C7B57">
      <w:pPr>
        <w:pStyle w:val="c2"/>
        <w:spacing w:before="0" w:beforeAutospacing="0" w:after="0" w:afterAutospacing="0"/>
      </w:pPr>
      <w:r>
        <w:rPr>
          <w:rStyle w:val="c0"/>
        </w:rPr>
        <w:t xml:space="preserve">                                                                                                          Егоров В.Б. </w:t>
      </w:r>
    </w:p>
    <w:p w:rsidR="003C7B57" w:rsidRDefault="003C7B57" w:rsidP="003C7B57">
      <w:pPr>
        <w:pStyle w:val="c2"/>
      </w:pPr>
      <w:r>
        <w:rPr>
          <w:rStyle w:val="c0"/>
        </w:rPr>
        <w:t>                                                       </w:t>
      </w:r>
    </w:p>
    <w:p w:rsidR="003C7B57" w:rsidRDefault="003C7B57" w:rsidP="003C7B57">
      <w:pPr>
        <w:pStyle w:val="c3"/>
        <w:rPr>
          <w:rStyle w:val="c0"/>
        </w:rPr>
      </w:pPr>
      <w:r>
        <w:rPr>
          <w:rStyle w:val="c0"/>
        </w:rPr>
        <w:t>             </w:t>
      </w:r>
    </w:p>
    <w:p w:rsidR="003C7B57" w:rsidRDefault="003C7B57" w:rsidP="003C7B57">
      <w:pPr>
        <w:pStyle w:val="c3"/>
        <w:rPr>
          <w:rStyle w:val="c0"/>
        </w:rPr>
      </w:pPr>
    </w:p>
    <w:p w:rsidR="003C7B57" w:rsidRDefault="003C7B57" w:rsidP="003C7B57">
      <w:pPr>
        <w:pStyle w:val="c3"/>
        <w:rPr>
          <w:rStyle w:val="c0"/>
        </w:rPr>
      </w:pPr>
    </w:p>
    <w:p w:rsidR="003C7B57" w:rsidRDefault="003C7B57" w:rsidP="003C7B57">
      <w:pPr>
        <w:pStyle w:val="c3"/>
        <w:rPr>
          <w:rStyle w:val="c0"/>
        </w:rPr>
      </w:pPr>
    </w:p>
    <w:p w:rsidR="003C7B57" w:rsidRDefault="003C7B57" w:rsidP="003C7B57">
      <w:pPr>
        <w:pStyle w:val="c2"/>
      </w:pPr>
      <w:r>
        <w:rPr>
          <w:rStyle w:val="c0"/>
        </w:rPr>
        <w:t>                                                       Пикалёво</w:t>
      </w:r>
    </w:p>
    <w:p w:rsidR="003C7B57" w:rsidRDefault="003C7B57" w:rsidP="003C7B57">
      <w:pPr>
        <w:pStyle w:val="c2"/>
      </w:pPr>
      <w:r>
        <w:rPr>
          <w:rStyle w:val="c0"/>
        </w:rPr>
        <w:t>                                                           2014</w:t>
      </w:r>
    </w:p>
    <w:p w:rsidR="003C7B57" w:rsidRDefault="003C7B57" w:rsidP="003C7B57">
      <w:pPr>
        <w:pStyle w:val="c3"/>
        <w:rPr>
          <w:rStyle w:val="c0"/>
        </w:rPr>
      </w:pPr>
    </w:p>
    <w:p w:rsidR="003C7B57" w:rsidRDefault="003C7B57" w:rsidP="003C7B57">
      <w:pPr>
        <w:pStyle w:val="c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lastRenderedPageBreak/>
        <w:t xml:space="preserve"> </w:t>
      </w:r>
      <w:r>
        <w:rPr>
          <w:rStyle w:val="c0"/>
        </w:rPr>
        <w:tab/>
      </w:r>
    </w:p>
    <w:p w:rsidR="003C7B57" w:rsidRDefault="003C7B57" w:rsidP="003C7B57">
      <w:pPr>
        <w:pStyle w:val="c3"/>
        <w:spacing w:before="0" w:beforeAutospacing="0" w:after="0" w:afterAutospacing="0"/>
        <w:jc w:val="both"/>
        <w:rPr>
          <w:rStyle w:val="c0"/>
        </w:rPr>
      </w:pPr>
    </w:p>
    <w:p w:rsidR="003C7B57" w:rsidRDefault="003C7B57" w:rsidP="003C7B57">
      <w:pPr>
        <w:pStyle w:val="c3"/>
        <w:spacing w:before="0" w:beforeAutospacing="0" w:after="0" w:afterAutospacing="0"/>
        <w:jc w:val="both"/>
        <w:rPr>
          <w:rStyle w:val="c0"/>
        </w:rPr>
      </w:pPr>
    </w:p>
    <w:p w:rsidR="003C7B57" w:rsidRDefault="003C7B57" w:rsidP="003C7B57">
      <w:pPr>
        <w:pStyle w:val="c3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Гармонь – замечательный музыкальный инструмент, давно ставший символом русского народного искусства. 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К концу 1930-х годов в русской фольклорной традиции наиболее широко были представлены две гармони – русская двухрядная венка и хромка. Как было признано комиссией экспертов, по музыкально-игровым возможностям обе гармони были почти равнозначны друг другу. Однако овладевать игрой на венке, ввиду зависимости его звучания от работы мехом, было значительно сложнее. Поэтому в промышленном производстве гармоней предпочтение было отдано, естественно, хромке.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Репертуар исполняемых на хромке наигрышей охватывает все инструментальные жанры, кроме </w:t>
      </w:r>
      <w:proofErr w:type="gramStart"/>
      <w:r>
        <w:rPr>
          <w:rStyle w:val="c0"/>
        </w:rPr>
        <w:t>сигнального</w:t>
      </w:r>
      <w:proofErr w:type="gramEnd"/>
      <w:r>
        <w:rPr>
          <w:rStyle w:val="c0"/>
        </w:rPr>
        <w:t xml:space="preserve"> (плясовые, частушечные, танцевальные, песенные). Особенно колоритно звучат плясовые и частушечные наигрыши.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Чтобы ответить на вопрос, как используются в традиционных наигрышах звуковые возможности хромки, обратим внимание на то, что четыре мажорные </w:t>
      </w:r>
      <w:proofErr w:type="spellStart"/>
      <w:r>
        <w:rPr>
          <w:rStyle w:val="c0"/>
        </w:rPr>
        <w:t>басо-аккордовые</w:t>
      </w:r>
      <w:proofErr w:type="spellEnd"/>
      <w:r>
        <w:rPr>
          <w:rStyle w:val="c0"/>
        </w:rPr>
        <w:t xml:space="preserve"> комплекса, находящиеся между собой в последовательности квартовых отношениях, делают её мелодический звукоряд ладов </w:t>
      </w:r>
      <w:proofErr w:type="spellStart"/>
      <w:r>
        <w:rPr>
          <w:rStyle w:val="c0"/>
        </w:rPr>
        <w:t>бифункциональным</w:t>
      </w:r>
      <w:proofErr w:type="spellEnd"/>
      <w:r>
        <w:rPr>
          <w:rStyle w:val="c0"/>
        </w:rPr>
        <w:t xml:space="preserve"> (если, конечно, иметь </w:t>
      </w:r>
      <w:proofErr w:type="gramStart"/>
      <w:r>
        <w:rPr>
          <w:rStyle w:val="c0"/>
        </w:rPr>
        <w:t>ввиду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сферу</w:t>
      </w:r>
      <w:proofErr w:type="gramEnd"/>
      <w:r>
        <w:rPr>
          <w:rStyle w:val="c0"/>
        </w:rPr>
        <w:t xml:space="preserve"> только мажора). Действительно, использование трёх верхних из них трактует её звукоряд как ионийский </w:t>
      </w:r>
      <w:proofErr w:type="gramStart"/>
      <w:r>
        <w:rPr>
          <w:rStyle w:val="c0"/>
        </w:rPr>
        <w:t>до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мажор</w:t>
      </w:r>
      <w:proofErr w:type="gramEnd"/>
      <w:r>
        <w:rPr>
          <w:rStyle w:val="c0"/>
        </w:rPr>
        <w:t>, трёх нижних – как миксолидийский соль мажор. Причём миксолидийская трактовка звукоряда, как показывает анализ двух десятков плясовых и частушечных наигрышей, встречается не реже ионийской. И это весьма значительно!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 В наигрышах с миксолидийской трактовкой звукоряда фа бекар в мелодии приходится в одних случаях на </w:t>
      </w:r>
      <w:proofErr w:type="spellStart"/>
      <w:r>
        <w:rPr>
          <w:rStyle w:val="c0"/>
        </w:rPr>
        <w:t>доминантовое</w:t>
      </w:r>
      <w:proofErr w:type="spellEnd"/>
      <w:r>
        <w:rPr>
          <w:rStyle w:val="c0"/>
        </w:rPr>
        <w:t xml:space="preserve"> трезвучие соль мажора в других случаях– </w:t>
      </w:r>
      <w:proofErr w:type="gramStart"/>
      <w:r>
        <w:rPr>
          <w:rStyle w:val="c0"/>
        </w:rPr>
        <w:t>до</w:t>
      </w:r>
      <w:proofErr w:type="gramEnd"/>
      <w:r>
        <w:rPr>
          <w:rStyle w:val="c0"/>
        </w:rPr>
        <w:t>полнительно используется одна из альтернативных ступеней, вынесенных в начало клавиатуры. В последующем случае фа бекар в мелодии чередуется с фа диезом.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</w:t>
      </w:r>
      <w:proofErr w:type="gramStart"/>
      <w:r>
        <w:rPr>
          <w:rStyle w:val="c0"/>
        </w:rPr>
        <w:t xml:space="preserve">Таким образом, употребление 6-ой ступени в мажоре при нисходящем движении мелодии, а высокой - при восходящем, эта характерная черта русской музыки, отличенная в </w:t>
      </w:r>
      <w:proofErr w:type="spellStart"/>
      <w:r>
        <w:rPr>
          <w:rStyle w:val="c0"/>
        </w:rPr>
        <w:t>рожечной</w:t>
      </w:r>
      <w:proofErr w:type="spellEnd"/>
      <w:r>
        <w:rPr>
          <w:rStyle w:val="c0"/>
        </w:rPr>
        <w:t>, балалаечной и ряде других инструментальных традиций, находит отражение также и в искусстве современных фольклорных гармонистов.</w:t>
      </w:r>
      <w:proofErr w:type="gramEnd"/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Главное назначение гармони в руках виртуозного исполнителя – развеселить русского человека залихватской пляской, задорной частушкой. Поэтому на первое место выступают в русской инструментально-жанровой системе плясовые и частушечные наигрыши, выполняющие художественно-эстетическую функцию.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Наигрыш выступает как средство сопровождения пению (сольного или хорового) и как средство организации и сопровождения  народной пляски и танца.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Основной корпус плясовых наигрышей составляют пляски в две и три ноги (в смысле структуры обобщённых хореографических времён). Наиболее типичными их представителями являются четырёхпозиционные наигрыши «Русского» (в две ноги), которые относятся к более позднему слою, обнаруживающему многочисленные функциональные связи со сферой частушечных наигрышей.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 Истоки русских плясовых наигрышей теряются в глубине веков, о чём свидетельствует давно существующий архаический пласт, наиболее рельефно представленный в вариантах «Старинной цыганочки» и отдельных образцах других плясовых наигрышей. Этот пласт обнаруживает </w:t>
      </w:r>
      <w:proofErr w:type="spellStart"/>
      <w:r>
        <w:rPr>
          <w:rStyle w:val="c0"/>
        </w:rPr>
        <w:t>ритмосинтаксическое</w:t>
      </w:r>
      <w:proofErr w:type="spellEnd"/>
      <w:r>
        <w:rPr>
          <w:rStyle w:val="c0"/>
        </w:rPr>
        <w:t xml:space="preserve"> сходство с наигрышем на пастушеском барабане и травяных дудках.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Значительную часть составляют танцевальные и песенные наигрыши.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В танцевальном жанре кроме вальса, польки, краковяка, лансье и других, центральное место занимает кадриль, которая наряду с танцевальными номерами включает в себя также и плясовые, и частушечные, и песенные наигрыши.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lastRenderedPageBreak/>
        <w:t xml:space="preserve">               Песенные наигрыши также неоднородны по составу. Они возникли из старинной практики сопровождать пение игрой на инструменте, которая </w:t>
      </w:r>
      <w:proofErr w:type="gramStart"/>
      <w:r>
        <w:rPr>
          <w:rStyle w:val="c0"/>
        </w:rPr>
        <w:t>сохранилась по сей</w:t>
      </w:r>
      <w:proofErr w:type="gramEnd"/>
      <w:r>
        <w:rPr>
          <w:rStyle w:val="c0"/>
        </w:rPr>
        <w:t xml:space="preserve"> день. Вместе с тем уже давно от практики </w:t>
      </w:r>
      <w:proofErr w:type="gramStart"/>
      <w:r>
        <w:rPr>
          <w:rStyle w:val="c0"/>
        </w:rPr>
        <w:t>совместного</w:t>
      </w:r>
      <w:proofErr w:type="gramEnd"/>
      <w:r>
        <w:rPr>
          <w:rStyle w:val="c0"/>
        </w:rPr>
        <w:t xml:space="preserve"> вокально-инструментального музицирования отделилась относительно самостоятельное направление – искусство исполнять известную песню исключительно инструментальными средствами.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 Частушечные наигрыши, под которые также нередко пляшут, отграничены от </w:t>
      </w:r>
      <w:proofErr w:type="gramStart"/>
      <w:r>
        <w:rPr>
          <w:rStyle w:val="c0"/>
        </w:rPr>
        <w:t>плясовых</w:t>
      </w:r>
      <w:proofErr w:type="gramEnd"/>
      <w:r>
        <w:rPr>
          <w:rStyle w:val="c0"/>
        </w:rPr>
        <w:t xml:space="preserve"> наличием вокального компонента, равноправного с инструментальным. В частушечных наигрышах можно выделить два слоя. Наиболее древний слой – </w:t>
      </w:r>
      <w:proofErr w:type="spellStart"/>
      <w:r>
        <w:rPr>
          <w:rStyle w:val="c0"/>
        </w:rPr>
        <w:t>скоморошины</w:t>
      </w:r>
      <w:proofErr w:type="spellEnd"/>
      <w:r>
        <w:rPr>
          <w:rStyle w:val="c0"/>
        </w:rPr>
        <w:t xml:space="preserve"> типа небылицы («Фома и  Ерёма», «Бычок») и близкие им частушки плясового типа («Подгорная», «</w:t>
      </w:r>
      <w:proofErr w:type="spellStart"/>
      <w:r>
        <w:rPr>
          <w:rStyle w:val="c0"/>
        </w:rPr>
        <w:t>Матаня</w:t>
      </w:r>
      <w:proofErr w:type="spellEnd"/>
      <w:r>
        <w:rPr>
          <w:rStyle w:val="c0"/>
        </w:rPr>
        <w:t>» и др.). Особый слой образуют частушечные наигрыши, сопровождающие более поздние лирические припевки  - так называемую классическую частушку.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>               Частушки занимают особое место в народной традиции. Формы и функции их бытования многообразны: их поют и в деревнях, и в городе.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 В различных уголках России эти маленькие песенки называются по-разному: припевки, </w:t>
      </w:r>
      <w:proofErr w:type="gramStart"/>
      <w:r>
        <w:rPr>
          <w:rStyle w:val="c0"/>
        </w:rPr>
        <w:t>приговорки</w:t>
      </w:r>
      <w:proofErr w:type="gramEnd"/>
      <w:r>
        <w:rPr>
          <w:rStyle w:val="c0"/>
        </w:rPr>
        <w:t xml:space="preserve">, прибаутки, </w:t>
      </w:r>
      <w:proofErr w:type="spellStart"/>
      <w:r>
        <w:rPr>
          <w:rStyle w:val="c0"/>
        </w:rPr>
        <w:t>коротушки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причудки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прибрешки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матани</w:t>
      </w:r>
      <w:proofErr w:type="spellEnd"/>
      <w:r>
        <w:rPr>
          <w:rStyle w:val="c0"/>
        </w:rPr>
        <w:t xml:space="preserve"> (любовный жанр) и т.д.</w:t>
      </w:r>
    </w:p>
    <w:p w:rsidR="003C7B57" w:rsidRDefault="003C7B57" w:rsidP="003C7B57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               При всём многообразии и гибкости их мотивов и ритмического рисунка учёные выделяют четыре основных типа: собственно частушки, плясовые, а также </w:t>
      </w:r>
      <w:proofErr w:type="spellStart"/>
      <w:r>
        <w:rPr>
          <w:rStyle w:val="c0"/>
        </w:rPr>
        <w:t>двустрочные</w:t>
      </w:r>
      <w:proofErr w:type="spellEnd"/>
      <w:r>
        <w:rPr>
          <w:rStyle w:val="c0"/>
        </w:rPr>
        <w:t xml:space="preserve"> «страдания» и «Семёновна». Закреплению в частушках мелодических ходов и ритмов, характерных для плясовых песен, способствовала балалайка, а также гармонь, тоже повлиявшая на строй частушечных наигрышей.</w:t>
      </w:r>
    </w:p>
    <w:p w:rsidR="003C7B57" w:rsidRDefault="003C7B57" w:rsidP="003C7B57">
      <w:pPr>
        <w:pStyle w:val="c2"/>
        <w:spacing w:before="0" w:beforeAutospacing="0" w:after="0" w:afterAutospacing="0"/>
        <w:jc w:val="both"/>
      </w:pPr>
      <w:r>
        <w:rPr>
          <w:rStyle w:val="c0"/>
        </w:rPr>
        <w:t>             </w:t>
      </w:r>
    </w:p>
    <w:p w:rsidR="003C7B57" w:rsidRDefault="003C7B57" w:rsidP="003C7B57">
      <w:pPr>
        <w:pStyle w:val="c6"/>
        <w:spacing w:before="0" w:beforeAutospacing="0" w:after="0" w:afterAutospacing="0"/>
        <w:jc w:val="center"/>
        <w:rPr>
          <w:sz w:val="20"/>
          <w:szCs w:val="20"/>
        </w:rPr>
      </w:pPr>
    </w:p>
    <w:p w:rsidR="006432E9" w:rsidRDefault="006432E9"/>
    <w:sectPr w:rsidR="006432E9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3C7B57"/>
    <w:rsid w:val="003C7B57"/>
    <w:rsid w:val="004A1A36"/>
    <w:rsid w:val="006432E9"/>
    <w:rsid w:val="008D38C7"/>
    <w:rsid w:val="00AB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3C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C7B57"/>
    <w:rPr>
      <w:rFonts w:cs="Times New Roman"/>
    </w:rPr>
  </w:style>
  <w:style w:type="character" w:customStyle="1" w:styleId="c4">
    <w:name w:val="c4"/>
    <w:basedOn w:val="a0"/>
    <w:uiPriority w:val="99"/>
    <w:rsid w:val="003C7B57"/>
    <w:rPr>
      <w:rFonts w:cs="Times New Roman"/>
    </w:rPr>
  </w:style>
  <w:style w:type="paragraph" w:customStyle="1" w:styleId="c3">
    <w:name w:val="c3"/>
    <w:basedOn w:val="a"/>
    <w:uiPriority w:val="99"/>
    <w:rsid w:val="003C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3C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5218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Земфира Раннева</cp:lastModifiedBy>
  <cp:revision>4</cp:revision>
  <dcterms:created xsi:type="dcterms:W3CDTF">2016-06-02T13:37:00Z</dcterms:created>
  <dcterms:modified xsi:type="dcterms:W3CDTF">2016-06-02T13:47:00Z</dcterms:modified>
</cp:coreProperties>
</file>